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F4DF1" w14:textId="465D9183" w:rsidR="00A119D1" w:rsidRPr="002C2A5A" w:rsidRDefault="00454898" w:rsidP="002C2A5A">
      <w:pPr>
        <w:pStyle w:val="Ttulo"/>
        <w:rPr>
          <w:rFonts w:ascii="Arial" w:eastAsia="Arial" w:hAnsi="Arial" w:cs="Arial"/>
          <w:b/>
          <w:color w:val="FF8202"/>
          <w:sz w:val="44"/>
          <w:szCs w:val="44"/>
        </w:rPr>
      </w:pPr>
      <w:r w:rsidRPr="002C2A5A">
        <w:rPr>
          <w:rFonts w:ascii="Arial" w:eastAsia="Arial" w:hAnsi="Arial" w:cs="Arial"/>
          <w:b/>
          <w:color w:val="FF8202"/>
          <w:sz w:val="44"/>
          <w:szCs w:val="44"/>
        </w:rPr>
        <w:t>REPSOL</w:t>
      </w:r>
      <w:r w:rsidR="00DD2659" w:rsidRPr="002C2A5A">
        <w:rPr>
          <w:rFonts w:ascii="Arial" w:eastAsia="Arial" w:hAnsi="Arial" w:cs="Arial"/>
          <w:b/>
          <w:color w:val="FF8202"/>
          <w:sz w:val="44"/>
          <w:szCs w:val="44"/>
        </w:rPr>
        <w:t xml:space="preserve"> LANÇA</w:t>
      </w:r>
      <w:r w:rsidR="00766406" w:rsidRPr="002C2A5A">
        <w:rPr>
          <w:rFonts w:ascii="Arial" w:eastAsia="Arial" w:hAnsi="Arial" w:cs="Arial"/>
          <w:b/>
          <w:color w:val="FF8202"/>
          <w:sz w:val="44"/>
          <w:szCs w:val="44"/>
        </w:rPr>
        <w:t xml:space="preserve"> QUADRO DE FINANCIAMENTO SUSTENTÁVEL ABRANGENTE</w:t>
      </w:r>
      <w:r w:rsidR="00DD2659" w:rsidRPr="002C2A5A">
        <w:rPr>
          <w:rFonts w:ascii="Arial" w:eastAsia="Arial" w:hAnsi="Arial" w:cs="Arial"/>
          <w:b/>
          <w:color w:val="FF8202"/>
          <w:sz w:val="44"/>
          <w:szCs w:val="44"/>
        </w:rPr>
        <w:t xml:space="preserve"> </w:t>
      </w:r>
    </w:p>
    <w:p w14:paraId="3EE9B567" w14:textId="39DEE93C" w:rsidR="00713459" w:rsidRDefault="00713459" w:rsidP="00713459"/>
    <w:p w14:paraId="1FB875A8" w14:textId="3724B03A" w:rsidR="00713459" w:rsidRDefault="00390FD2" w:rsidP="00713459">
      <w:r w:rsidRPr="00E4345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FE23A10" wp14:editId="15C5E508">
                <wp:simplePos x="0" y="0"/>
                <wp:positionH relativeFrom="margin">
                  <wp:posOffset>4795520</wp:posOffset>
                </wp:positionH>
                <wp:positionV relativeFrom="paragraph">
                  <wp:posOffset>155575</wp:posOffset>
                </wp:positionV>
                <wp:extent cx="2133600" cy="1614170"/>
                <wp:effectExtent l="0" t="0" r="0" b="508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614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90762" w14:textId="056E2050" w:rsidR="00390FD2" w:rsidRPr="00E43453" w:rsidRDefault="00390FD2" w:rsidP="00390FD2">
                            <w:pPr>
                              <w:widowControl w:val="0"/>
                              <w:autoSpaceDE w:val="0"/>
                              <w:autoSpaceDN w:val="0"/>
                              <w:spacing w:before="128"/>
                              <w:ind w:right="964"/>
                              <w:jc w:val="right"/>
                              <w:rPr>
                                <w:rFonts w:ascii="Arial" w:eastAsia="Arial" w:hAnsi="Arial" w:cs="Arial"/>
                                <w:color w:val="EC7C30"/>
                                <w:szCs w:val="20"/>
                              </w:rPr>
                            </w:pPr>
                          </w:p>
                          <w:p w14:paraId="7B2DE17C" w14:textId="5775F217" w:rsidR="00390FD2" w:rsidRPr="00D802DF" w:rsidRDefault="0030522C" w:rsidP="002C2A5A">
                            <w:r w:rsidRPr="0030522C">
                              <w:rPr>
                                <w:rFonts w:ascii="Arial" w:eastAsia="Arial" w:hAnsi="Arial" w:cs="Arial"/>
                                <w:color w:val="EC7C30"/>
                                <w:sz w:val="24"/>
                                <w:szCs w:val="24"/>
                              </w:rPr>
                              <w:t>O novo quadro de financiamento sustentável foi verificado e certificado pela agência de classificação ISS</w:t>
                            </w:r>
                            <w:r>
                              <w:rPr>
                                <w:rFonts w:ascii="Arial" w:eastAsia="Arial" w:hAnsi="Arial" w:cs="Arial"/>
                                <w:color w:val="EC7C30"/>
                                <w:sz w:val="24"/>
                                <w:szCs w:val="24"/>
                              </w:rPr>
                              <w:t>.</w:t>
                            </w:r>
                            <w:r w:rsidRPr="00E43453">
                              <w:rPr>
                                <w:rFonts w:ascii="Arial" w:eastAsia="Arial" w:hAnsi="Arial" w:cs="Arial"/>
                                <w:noProof/>
                                <w:color w:val="EC7C30"/>
                                <w:szCs w:val="20"/>
                              </w:rPr>
                              <w:drawing>
                                <wp:inline distT="0" distB="0" distL="0" distR="0" wp14:anchorId="2C2F9B87" wp14:editId="396E666E">
                                  <wp:extent cx="1362075" cy="66675"/>
                                  <wp:effectExtent l="0" t="0" r="9525" b="9525"/>
                                  <wp:docPr id="11" name="Imagem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075" cy="66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23A1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77.6pt;margin-top:12.25pt;width:168pt;height:127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" filled="f" stroked="f">
                <v:textbox>
                  <w:txbxContent>
                    <w:p w14:paraId="2CB90762" w14:textId="056E2050" w:rsidR="00390FD2" w:rsidRPr="00E43453" w:rsidRDefault="00390FD2" w:rsidP="00390FD2">
                      <w:pPr>
                        <w:widowControl w:val="0"/>
                        <w:autoSpaceDE w:val="0"/>
                        <w:autoSpaceDN w:val="0"/>
                        <w:spacing w:before="128"/>
                        <w:ind w:right="964"/>
                        <w:jc w:val="right"/>
                        <w:rPr>
                          <w:rFonts w:ascii="Arial" w:eastAsia="Arial" w:hAnsi="Arial" w:cs="Arial"/>
                          <w:color w:val="EC7C30"/>
                          <w:szCs w:val="20"/>
                        </w:rPr>
                      </w:pPr>
                    </w:p>
                    <w:p w14:paraId="7B2DE17C" w14:textId="5775F217" w:rsidR="00390FD2" w:rsidRPr="00D802DF" w:rsidRDefault="0030522C" w:rsidP="002C2A5A">
                      <w:r w:rsidRPr="0030522C">
                        <w:rPr>
                          <w:rFonts w:ascii="Arial" w:eastAsia="Arial" w:hAnsi="Arial" w:cs="Arial"/>
                          <w:color w:val="EC7C30"/>
                          <w:sz w:val="24"/>
                          <w:szCs w:val="24"/>
                        </w:rPr>
                        <w:t>O novo quadro de financiamento sustentável foi verificado e certificado pela agência de classificação ISS</w:t>
                      </w:r>
                      <w:r>
                        <w:rPr>
                          <w:rFonts w:ascii="Arial" w:eastAsia="Arial" w:hAnsi="Arial" w:cs="Arial"/>
                          <w:color w:val="EC7C30"/>
                          <w:sz w:val="24"/>
                          <w:szCs w:val="24"/>
                        </w:rPr>
                        <w:t>.</w:t>
                      </w:r>
                      <w:r w:rsidRPr="00E43453">
                        <w:rPr>
                          <w:rFonts w:ascii="Arial" w:eastAsia="Arial" w:hAnsi="Arial" w:cs="Arial"/>
                          <w:noProof/>
                          <w:color w:val="EC7C30"/>
                          <w:szCs w:val="20"/>
                        </w:rPr>
                        <w:drawing>
                          <wp:inline distT="0" distB="0" distL="0" distR="0" wp14:anchorId="2C2F9B87" wp14:editId="396E666E">
                            <wp:extent cx="1362075" cy="66675"/>
                            <wp:effectExtent l="0" t="0" r="9525" b="9525"/>
                            <wp:docPr id="11" name="Imagem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0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21AC3D" w14:textId="76855700" w:rsidR="0030522C" w:rsidRPr="00DD2659" w:rsidRDefault="0030522C" w:rsidP="007B1533">
      <w:pPr>
        <w:pStyle w:val="PargrafodaLista"/>
        <w:numPr>
          <w:ilvl w:val="0"/>
          <w:numId w:val="2"/>
        </w:numPr>
        <w:rPr>
          <w:rFonts w:ascii="Arial" w:eastAsia="Times New Roman" w:hAnsi="Arial" w:cs="Arial"/>
          <w:color w:val="000000"/>
          <w:sz w:val="25"/>
          <w:szCs w:val="25"/>
          <w:lang w:eastAsia="zh-CN"/>
        </w:rPr>
      </w:pPr>
      <w:r w:rsidRPr="00DD2659">
        <w:rPr>
          <w:rFonts w:ascii="Arial" w:eastAsia="Times New Roman" w:hAnsi="Arial" w:cs="Arial"/>
          <w:color w:val="000000"/>
          <w:sz w:val="25"/>
          <w:szCs w:val="25"/>
          <w:lang w:eastAsia="zh-CN"/>
        </w:rPr>
        <w:t xml:space="preserve">Com </w:t>
      </w:r>
      <w:r w:rsidR="007B1533" w:rsidRPr="00DD2659">
        <w:rPr>
          <w:rFonts w:ascii="Arial" w:eastAsia="Times New Roman" w:hAnsi="Arial" w:cs="Arial"/>
          <w:color w:val="000000"/>
          <w:sz w:val="25"/>
          <w:szCs w:val="25"/>
          <w:lang w:eastAsia="zh-CN"/>
        </w:rPr>
        <w:t xml:space="preserve">o </w:t>
      </w:r>
      <w:r w:rsidRPr="00DD2659">
        <w:rPr>
          <w:rFonts w:ascii="Arial" w:eastAsia="Times New Roman" w:hAnsi="Arial" w:cs="Arial"/>
          <w:color w:val="000000"/>
          <w:sz w:val="25"/>
          <w:szCs w:val="25"/>
          <w:lang w:eastAsia="zh-CN"/>
        </w:rPr>
        <w:t xml:space="preserve">novo Quadro de Financiamento </w:t>
      </w:r>
      <w:r w:rsidR="007B1533" w:rsidRPr="00DD2659">
        <w:rPr>
          <w:rFonts w:ascii="Arial" w:eastAsia="Times New Roman" w:hAnsi="Arial" w:cs="Arial"/>
          <w:color w:val="000000"/>
          <w:sz w:val="25"/>
          <w:szCs w:val="25"/>
          <w:lang w:eastAsia="zh-CN"/>
        </w:rPr>
        <w:t>para a</w:t>
      </w:r>
      <w:r w:rsidRPr="00DD2659">
        <w:rPr>
          <w:rFonts w:ascii="Arial" w:eastAsia="Times New Roman" w:hAnsi="Arial" w:cs="Arial"/>
          <w:color w:val="000000"/>
          <w:sz w:val="25"/>
          <w:szCs w:val="25"/>
          <w:lang w:eastAsia="zh-CN"/>
        </w:rPr>
        <w:t xml:space="preserve"> Transição, a Repsol </w:t>
      </w:r>
      <w:r w:rsidR="007B1533" w:rsidRPr="00DD2659">
        <w:rPr>
          <w:rFonts w:ascii="Arial" w:eastAsia="Times New Roman" w:hAnsi="Arial" w:cs="Arial"/>
          <w:color w:val="000000"/>
          <w:sz w:val="25"/>
          <w:szCs w:val="25"/>
          <w:lang w:eastAsia="zh-CN"/>
        </w:rPr>
        <w:t xml:space="preserve">integra os planos de </w:t>
      </w:r>
      <w:r w:rsidRPr="00DD2659">
        <w:rPr>
          <w:rFonts w:ascii="Arial" w:eastAsia="Times New Roman" w:hAnsi="Arial" w:cs="Arial"/>
          <w:color w:val="000000"/>
          <w:sz w:val="25"/>
          <w:szCs w:val="25"/>
          <w:lang w:eastAsia="zh-CN"/>
        </w:rPr>
        <w:t xml:space="preserve">sustentabilidade na sua estratégia de financiamento e dá um passo fundamental no compromisso de se tornar uma empresa </w:t>
      </w:r>
      <w:r w:rsidR="007B1533" w:rsidRPr="00DD2659">
        <w:rPr>
          <w:rFonts w:ascii="Arial" w:eastAsia="Times New Roman" w:hAnsi="Arial" w:cs="Arial"/>
          <w:color w:val="000000"/>
          <w:sz w:val="25"/>
          <w:szCs w:val="25"/>
          <w:lang w:eastAsia="zh-CN"/>
        </w:rPr>
        <w:t xml:space="preserve">com zero emissões líquidas </w:t>
      </w:r>
      <w:r w:rsidR="00766406">
        <w:rPr>
          <w:rFonts w:ascii="Arial" w:eastAsia="Times New Roman" w:hAnsi="Arial" w:cs="Arial"/>
          <w:color w:val="000000"/>
          <w:sz w:val="25"/>
          <w:szCs w:val="25"/>
          <w:lang w:eastAsia="zh-CN"/>
        </w:rPr>
        <w:t>até</w:t>
      </w:r>
      <w:r w:rsidR="007B1533" w:rsidRPr="00DD2659">
        <w:rPr>
          <w:rFonts w:ascii="Arial" w:eastAsia="Times New Roman" w:hAnsi="Arial" w:cs="Arial"/>
          <w:color w:val="000000"/>
          <w:sz w:val="25"/>
          <w:szCs w:val="25"/>
          <w:lang w:eastAsia="zh-CN"/>
        </w:rPr>
        <w:t xml:space="preserve"> 2050</w:t>
      </w:r>
      <w:r w:rsidR="00766406">
        <w:rPr>
          <w:rFonts w:ascii="Arial" w:eastAsia="Times New Roman" w:hAnsi="Arial" w:cs="Arial"/>
          <w:color w:val="000000"/>
          <w:sz w:val="25"/>
          <w:szCs w:val="25"/>
          <w:lang w:eastAsia="zh-CN"/>
        </w:rPr>
        <w:t>.</w:t>
      </w:r>
    </w:p>
    <w:p w14:paraId="6DC7B439" w14:textId="77777777" w:rsidR="0030522C" w:rsidRPr="00DD2659" w:rsidRDefault="0030522C" w:rsidP="0030522C">
      <w:pPr>
        <w:pStyle w:val="PargrafodaLista"/>
        <w:ind w:left="454"/>
        <w:rPr>
          <w:rFonts w:ascii="Arial" w:eastAsia="Times New Roman" w:hAnsi="Arial" w:cs="Arial"/>
          <w:color w:val="000000"/>
          <w:sz w:val="25"/>
          <w:szCs w:val="25"/>
          <w:lang w:eastAsia="zh-CN"/>
        </w:rPr>
      </w:pPr>
    </w:p>
    <w:p w14:paraId="544B6EA6" w14:textId="434D0792" w:rsidR="0030522C" w:rsidRPr="00DD2659" w:rsidRDefault="00587405" w:rsidP="00587405">
      <w:pPr>
        <w:pStyle w:val="PargrafodaLista"/>
        <w:numPr>
          <w:ilvl w:val="0"/>
          <w:numId w:val="2"/>
        </w:numPr>
        <w:rPr>
          <w:rFonts w:ascii="Arial" w:eastAsia="Times New Roman" w:hAnsi="Arial" w:cs="Arial"/>
          <w:color w:val="000000"/>
          <w:sz w:val="25"/>
          <w:szCs w:val="25"/>
          <w:lang w:eastAsia="zh-CN"/>
        </w:rPr>
      </w:pPr>
      <w:r w:rsidRPr="00DD2659">
        <w:rPr>
          <w:rFonts w:ascii="Arial" w:eastAsia="Times New Roman" w:hAnsi="Arial" w:cs="Arial"/>
          <w:color w:val="000000"/>
          <w:sz w:val="25"/>
          <w:szCs w:val="25"/>
          <w:lang w:eastAsia="zh-CN"/>
        </w:rPr>
        <w:t xml:space="preserve">Enquanto empresa líder no setor, a Repsol </w:t>
      </w:r>
      <w:r w:rsidR="00766406">
        <w:rPr>
          <w:rFonts w:ascii="Arial" w:eastAsia="Times New Roman" w:hAnsi="Arial" w:cs="Arial"/>
          <w:color w:val="000000"/>
          <w:sz w:val="25"/>
          <w:szCs w:val="25"/>
          <w:lang w:eastAsia="zh-CN"/>
        </w:rPr>
        <w:t xml:space="preserve">apresenta </w:t>
      </w:r>
      <w:r w:rsidRPr="00DD2659">
        <w:rPr>
          <w:rFonts w:ascii="Arial" w:eastAsia="Times New Roman" w:hAnsi="Arial" w:cs="Arial"/>
          <w:color w:val="000000"/>
          <w:sz w:val="25"/>
          <w:szCs w:val="25"/>
          <w:lang w:eastAsia="zh-CN"/>
        </w:rPr>
        <w:t>um quadro de financiamento inovador e abrangente, que inclui as atividades que contribuem para a transição energética</w:t>
      </w:r>
      <w:r w:rsidR="0030522C" w:rsidRPr="00DD2659">
        <w:rPr>
          <w:rFonts w:ascii="Arial" w:eastAsia="Times New Roman" w:hAnsi="Arial" w:cs="Arial"/>
          <w:color w:val="000000"/>
          <w:sz w:val="25"/>
          <w:szCs w:val="25"/>
          <w:lang w:eastAsia="zh-CN"/>
        </w:rPr>
        <w:t>.</w:t>
      </w:r>
    </w:p>
    <w:p w14:paraId="23356FB9" w14:textId="77777777" w:rsidR="0030522C" w:rsidRPr="00DD2659" w:rsidRDefault="0030522C" w:rsidP="0030522C">
      <w:pPr>
        <w:pStyle w:val="PargrafodaLista"/>
        <w:rPr>
          <w:rFonts w:ascii="Arial" w:eastAsia="Times New Roman" w:hAnsi="Arial" w:cs="Arial"/>
          <w:color w:val="000000"/>
          <w:sz w:val="25"/>
          <w:szCs w:val="25"/>
          <w:lang w:eastAsia="zh-CN"/>
        </w:rPr>
      </w:pPr>
    </w:p>
    <w:p w14:paraId="6101F589" w14:textId="7D285443" w:rsidR="0030522C" w:rsidRPr="00DD2659" w:rsidRDefault="00DD2659" w:rsidP="0030522C">
      <w:pPr>
        <w:pStyle w:val="PargrafodaLista"/>
        <w:numPr>
          <w:ilvl w:val="0"/>
          <w:numId w:val="2"/>
        </w:numPr>
        <w:rPr>
          <w:rFonts w:ascii="Arial" w:eastAsia="Times New Roman" w:hAnsi="Arial" w:cs="Arial"/>
          <w:color w:val="000000"/>
          <w:sz w:val="25"/>
          <w:szCs w:val="25"/>
          <w:lang w:eastAsia="zh-CN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zh-CN"/>
        </w:rPr>
        <w:t>O</w:t>
      </w:r>
      <w:r w:rsidR="0030522C" w:rsidRPr="00DD2659">
        <w:rPr>
          <w:rFonts w:ascii="Arial" w:eastAsia="Times New Roman" w:hAnsi="Arial" w:cs="Arial"/>
          <w:color w:val="000000"/>
          <w:sz w:val="25"/>
          <w:szCs w:val="25"/>
          <w:lang w:eastAsia="zh-CN"/>
        </w:rPr>
        <w:t xml:space="preserve">ferece total flexibilidade </w:t>
      </w:r>
      <w:r w:rsidR="00766406">
        <w:rPr>
          <w:rFonts w:ascii="Arial" w:eastAsia="Times New Roman" w:hAnsi="Arial" w:cs="Arial"/>
          <w:color w:val="000000"/>
          <w:sz w:val="25"/>
          <w:szCs w:val="25"/>
          <w:lang w:eastAsia="zh-CN"/>
        </w:rPr>
        <w:t>nas questões relacionadas com os</w:t>
      </w:r>
      <w:r w:rsidR="0030522C" w:rsidRPr="00DD2659">
        <w:rPr>
          <w:rFonts w:ascii="Arial" w:eastAsia="Times New Roman" w:hAnsi="Arial" w:cs="Arial"/>
          <w:color w:val="000000"/>
          <w:sz w:val="25"/>
          <w:szCs w:val="25"/>
          <w:lang w:eastAsia="zh-CN"/>
        </w:rPr>
        <w:t xml:space="preserve"> instrumentos financeiros, incorporando obrigações verdes, obrigações de transição, e obrigações ligadas à sustentabilidade.</w:t>
      </w:r>
    </w:p>
    <w:p w14:paraId="086689CD" w14:textId="77777777" w:rsidR="0030522C" w:rsidRDefault="0030522C" w:rsidP="0030522C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6664D98D" w14:textId="12B8F2B2" w:rsidR="0030522C" w:rsidRPr="0030522C" w:rsidRDefault="0030522C" w:rsidP="0030522C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A Repsol lançou um quadro de financiamento</w:t>
      </w:r>
      <w:r w:rsidR="007B15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,</w:t>
      </w:r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abrangente e sustentável</w:t>
      </w:r>
      <w:r w:rsidR="007B15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,</w:t>
      </w:r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para acompanhar o</w:t>
      </w:r>
      <w:r w:rsidR="0076640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seu</w:t>
      </w:r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processo de transição energética</w:t>
      </w:r>
      <w:r w:rsidR="007B15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em curso</w:t>
      </w:r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 É a primeira empresa</w:t>
      </w:r>
      <w:r w:rsidR="007B15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do setor, a nível mundial, </w:t>
      </w:r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a apresentar um quadro global que incorpora</w:t>
      </w:r>
      <w:r w:rsidR="007B15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instrumentos destinados a financiar proj</w:t>
      </w:r>
      <w:r w:rsidR="007B15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e</w:t>
      </w:r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tos específicos (obrigações verdes e de transição)</w:t>
      </w:r>
      <w:r w:rsidR="007B15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bem como </w:t>
      </w:r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aqueles ligados aos compromissos de sustentabilidade da empresa (Obrigações Ligadas à Sustentabilidade). </w:t>
      </w:r>
      <w:r w:rsidR="007B15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Esta decisão permite obter </w:t>
      </w:r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flexibilidade e transparência na emissão de instrumentos financeiros.</w:t>
      </w:r>
    </w:p>
    <w:p w14:paraId="429C8105" w14:textId="6563686B" w:rsidR="0030522C" w:rsidRPr="0030522C" w:rsidRDefault="007B1533" w:rsidP="0030522C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Desta forma,</w:t>
      </w:r>
      <w:r w:rsidR="0030522C"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multienergética</w:t>
      </w:r>
      <w:proofErr w:type="spellEnd"/>
      <w:r w:rsidR="0030522C"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dá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mais um passo </w:t>
      </w:r>
      <w:r w:rsidR="0030522C"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significativo </w:t>
      </w:r>
      <w:r w:rsidR="004054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no </w:t>
      </w:r>
      <w:r w:rsidR="0030522C"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compromisso de se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tornar nu</w:t>
      </w:r>
      <w:r w:rsidR="0030522C"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ma empresa com 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zero </w:t>
      </w:r>
      <w:r w:rsidR="0030522C"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emissões líquidas até 2050. O novo quadro de financiamento sustentável está alinhado com o Plano Estratégico 2021-2025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da Repsol, apresentado em novembro de 2020, e </w:t>
      </w:r>
      <w:r w:rsidR="004054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vai permitir ter o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s r</w:t>
      </w:r>
      <w:r w:rsidR="0030522C"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ecursos financeiros necessários para</w:t>
      </w:r>
      <w:r w:rsidR="004054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a sua implementação, da mesma forma que reforça a 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liderança da empresa na t</w:t>
      </w:r>
      <w:r w:rsidR="0030522C"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ransição energética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no setor</w:t>
      </w:r>
      <w:r w:rsidR="0030522C"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O Quadro de Financiamento da Repsol foi verificado e certificado pela agência de </w:t>
      </w:r>
      <w:r w:rsidR="00766406" w:rsidRPr="002C2A5A">
        <w:rPr>
          <w:rFonts w:ascii="Arial" w:eastAsia="Times New Roman" w:hAnsi="Arial" w:cs="Arial"/>
          <w:i/>
          <w:color w:val="000000"/>
          <w:sz w:val="24"/>
          <w:szCs w:val="24"/>
          <w:lang w:eastAsia="zh-CN"/>
        </w:rPr>
        <w:t>rating</w:t>
      </w:r>
      <w:r w:rsidR="00766406"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="0030522C"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ISS, em conformidade com 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princípios </w:t>
      </w:r>
      <w:r w:rsidR="0030522C"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de transparência 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e boas práticas.</w:t>
      </w:r>
    </w:p>
    <w:p w14:paraId="2CBBE189" w14:textId="518D7C75" w:rsidR="0030522C" w:rsidRPr="0030522C" w:rsidRDefault="007B1533" w:rsidP="0030522C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Este quadro inclui t</w:t>
      </w:r>
      <w:r w:rsidR="0030522C"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rês tipos de instrumentos financeiros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="0030522C"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divididos em d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uas categorias: </w:t>
      </w:r>
    </w:p>
    <w:p w14:paraId="175F7950" w14:textId="0B8B3B16" w:rsidR="0030522C" w:rsidRPr="0030522C" w:rsidRDefault="0030522C" w:rsidP="0030522C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lastRenderedPageBreak/>
        <w:t xml:space="preserve">- </w:t>
      </w:r>
      <w:r w:rsidRPr="00E54930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Utilização de Instrumentos de Procedimentos</w:t>
      </w:r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: </w:t>
      </w:r>
      <w:r w:rsidRPr="002C2A5A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obrigações verdes e obrigações de transição</w:t>
      </w:r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, amb</w:t>
      </w:r>
      <w:r w:rsidR="007B15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a</w:t>
      </w:r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s sujeit</w:t>
      </w:r>
      <w:r w:rsidR="007B15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a</w:t>
      </w:r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s aos Princípios de Obrigações Verdes</w:t>
      </w:r>
      <w:r w:rsidR="007B15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,</w:t>
      </w:r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publicados pela Associação Internacional do Mercado de Capitais (ICMA</w:t>
      </w:r>
      <w:r w:rsidR="007B15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, sigla em inglês</w:t>
      </w:r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). Os fundos recolhidos </w:t>
      </w:r>
      <w:r w:rsidR="00E5493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a partir destes instrumentos, têm como objetivo </w:t>
      </w:r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financiar projetos verdes</w:t>
      </w:r>
      <w:r w:rsidR="00E5493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que serão </w:t>
      </w:r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elegíveis </w:t>
      </w:r>
      <w:r w:rsidR="00E5493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de acordo com as</w:t>
      </w:r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normas da União Europeia (energias renováveis, hidrogénio renovável, etc.). Os fundos </w:t>
      </w:r>
      <w:r w:rsidR="00E5493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dos instrumentos de transição </w:t>
      </w:r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serão </w:t>
      </w:r>
      <w:r w:rsidR="00AE27F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alocados</w:t>
      </w:r>
      <w:r w:rsidR="00AE27F8"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a atividades e projetos adicionais que também contribu</w:t>
      </w:r>
      <w:r w:rsidR="00E5493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am</w:t>
      </w:r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para objetivos sustentáveis</w:t>
      </w:r>
      <w:r w:rsidR="00AE27F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, que integram</w:t>
      </w:r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="00AE27F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a</w:t>
      </w:r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estratégia de transição energética da Repsol.</w:t>
      </w:r>
    </w:p>
    <w:p w14:paraId="2C8DCB0A" w14:textId="7777AC64" w:rsidR="0030522C" w:rsidRPr="0030522C" w:rsidRDefault="0030522C" w:rsidP="0030522C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- </w:t>
      </w:r>
      <w:r w:rsidRPr="00E54930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Títulos ou instrumentos ligados à sustentabilidade (SLB)</w:t>
      </w:r>
      <w:r w:rsidR="00E54930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,</w:t>
      </w:r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cuj</w:t>
      </w:r>
      <w:r w:rsidR="00E5493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os critérios económicos estão relacionados com o cumprimento d</w:t>
      </w:r>
      <w:r w:rsidR="00AE27F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os principais</w:t>
      </w:r>
      <w:r w:rsidR="00E5493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objetivos </w:t>
      </w:r>
      <w:r w:rsidR="00AE27F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sustentáveis </w:t>
      </w:r>
      <w:r w:rsidR="00E5493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da Repsol</w:t>
      </w:r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 Estas obrigações estão sujeitas aos Princípios de Obrigações Vinculadas à Sustentabilidade</w:t>
      </w:r>
      <w:r w:rsidR="00E5493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da ICMA. Para fins de monitorização, </w:t>
      </w:r>
      <w:r w:rsidR="00E5493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será utilizado o </w:t>
      </w:r>
      <w:hyperlink r:id="rId10" w:history="1">
        <w:r w:rsidRPr="00E54930">
          <w:rPr>
            <w:rStyle w:val="Hiperligao"/>
            <w:rFonts w:ascii="Arial" w:eastAsia="Times New Roman" w:hAnsi="Arial" w:cs="Arial"/>
            <w:sz w:val="24"/>
            <w:szCs w:val="24"/>
            <w:lang w:eastAsia="zh-CN"/>
          </w:rPr>
          <w:t>Indicador de</w:t>
        </w:r>
        <w:r w:rsidR="00AE27F8">
          <w:rPr>
            <w:rStyle w:val="Hiperligao"/>
            <w:rFonts w:ascii="Arial" w:eastAsia="Times New Roman" w:hAnsi="Arial" w:cs="Arial"/>
            <w:sz w:val="24"/>
            <w:szCs w:val="24"/>
            <w:lang w:eastAsia="zh-CN"/>
          </w:rPr>
          <w:t xml:space="preserve"> Intensidade de</w:t>
        </w:r>
        <w:r w:rsidRPr="00E54930">
          <w:rPr>
            <w:rStyle w:val="Hiperligao"/>
            <w:rFonts w:ascii="Arial" w:eastAsia="Times New Roman" w:hAnsi="Arial" w:cs="Arial"/>
            <w:sz w:val="24"/>
            <w:szCs w:val="24"/>
            <w:lang w:eastAsia="zh-CN"/>
          </w:rPr>
          <w:t xml:space="preserve"> Carbono</w:t>
        </w:r>
      </w:hyperlink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da </w:t>
      </w:r>
      <w:r w:rsidR="00AE27F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empresa</w:t>
      </w:r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que mede as emissões de </w:t>
      </w:r>
      <w:r w:rsidR="00AE27F8" w:rsidRPr="002C2A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</w:t>
      </w:r>
      <w:r w:rsidR="00AE27F8" w:rsidRPr="002C2A5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 w:rsidR="00AE27F8" w:rsidRPr="0030522C" w:rsidDel="00AE27F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por unidade de energia produzida pela empresa (g </w:t>
      </w:r>
      <w:r w:rsidR="00AE27F8" w:rsidRPr="002C2A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</w:t>
      </w:r>
      <w:r w:rsidR="00AE27F8" w:rsidRPr="002C2A5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e/MJ)</w:t>
      </w:r>
      <w:r w:rsidR="00E5493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</w:p>
    <w:p w14:paraId="0BD2363B" w14:textId="451D79CE" w:rsidR="00BD0BB2" w:rsidRDefault="0030522C" w:rsidP="0030522C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A Repsol </w:t>
      </w:r>
      <w:r w:rsidR="00660DAA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traçou um e</w:t>
      </w:r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xigente </w:t>
      </w:r>
      <w:r w:rsidR="00660DAA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plano para se tornar</w:t>
      </w:r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uma empresa </w:t>
      </w:r>
      <w:r w:rsidR="00660DAA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com</w:t>
      </w:r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="00660DAA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zero </w:t>
      </w:r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emissões líquidas até 2050</w:t>
      </w:r>
      <w:r w:rsidR="00660DAA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,</w:t>
      </w:r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que inclui obj</w:t>
      </w:r>
      <w:r w:rsidR="00660DAA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e</w:t>
      </w:r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tivos </w:t>
      </w:r>
      <w:r w:rsidR="00BD0BB2"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de redução de emissões</w:t>
      </w:r>
      <w:r w:rsid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bastante ambiciosos, e</w:t>
      </w:r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uma redução na intensidade de carbono de 12% até 2025, 25% até 2030, e 50% até 2040.</w:t>
      </w:r>
    </w:p>
    <w:p w14:paraId="6A632D8E" w14:textId="16D6A8E2" w:rsidR="00BD0BB2" w:rsidRDefault="00BD0BB2" w:rsidP="0030522C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Os C</w:t>
      </w:r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onsultores de Estruturação de Sustentabilidade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pela </w:t>
      </w:r>
      <w:r w:rsidR="0030522C"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HSBC e pela </w:t>
      </w:r>
      <w:proofErr w:type="spellStart"/>
      <w:r w:rsidR="0030522C"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Natixis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têm apoiado 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multienergética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no</w:t>
      </w:r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processo de estruturação d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este</w:t>
      </w:r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quadro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</w:p>
    <w:p w14:paraId="7EB883DC" w14:textId="5E18D07D" w:rsidR="0030522C" w:rsidRPr="0030522C" w:rsidRDefault="0030522C" w:rsidP="0030522C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A atribuição de fundos e os progressos ambientais associados a</w:t>
      </w:r>
      <w:r w:rsid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os</w:t>
      </w:r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compromissos </w:t>
      </w:r>
      <w:r w:rsid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que vão sendo assumidos,</w:t>
      </w:r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serão reportados anualmente</w:t>
      </w:r>
      <w:r w:rsid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,</w:t>
      </w:r>
      <w:r w:rsidRPr="003052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após </w:t>
      </w:r>
      <w:r w:rsid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uma auditoria completa.</w:t>
      </w:r>
    </w:p>
    <w:p w14:paraId="434A0370" w14:textId="18865A9A" w:rsidR="0030522C" w:rsidRPr="0030522C" w:rsidRDefault="0030522C" w:rsidP="0030522C">
      <w:pPr>
        <w:jc w:val="both"/>
        <w:rPr>
          <w:rFonts w:ascii="Arial" w:eastAsia="Arial" w:hAnsi="Arial" w:cs="Arial"/>
          <w:color w:val="FF8200"/>
          <w:sz w:val="32"/>
          <w:lang w:eastAsia="en-US"/>
        </w:rPr>
      </w:pPr>
      <w:r w:rsidRPr="0030522C">
        <w:rPr>
          <w:rFonts w:ascii="Arial" w:eastAsia="Arial" w:hAnsi="Arial" w:cs="Arial"/>
          <w:color w:val="FF8200"/>
          <w:sz w:val="32"/>
          <w:lang w:eastAsia="en-US"/>
        </w:rPr>
        <w:t>Compromisso para a transição energética</w:t>
      </w:r>
    </w:p>
    <w:p w14:paraId="13B9C565" w14:textId="44199FCC" w:rsidR="0030522C" w:rsidRPr="00BD0BB2" w:rsidRDefault="0030522C" w:rsidP="00BD0BB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Em </w:t>
      </w:r>
      <w:r w:rsid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d</w:t>
      </w:r>
      <w:r w:rsidRP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ezembro de 2019, a Repsol foi a primeira empresa do s</w:t>
      </w:r>
      <w:r w:rsid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e</w:t>
      </w:r>
      <w:r w:rsidRP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tor a anunciar o compromisso de se tornar uma empresa de emissões líquidas zero até 2050, em alinhamento com o Acordo de Paris e os Objetivos de Desenvolvimento Sustentado das Nações Unidas.</w:t>
      </w:r>
    </w:p>
    <w:p w14:paraId="58D678ED" w14:textId="53691BE0" w:rsidR="0030522C" w:rsidRPr="00BD0BB2" w:rsidRDefault="0030522C" w:rsidP="00BD0BB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No final de 2020, a Repsol apresentou o novo Plano Estratégico 2021-2025, que marcará a transformação da empresa nos próximos anos e </w:t>
      </w:r>
      <w:r w:rsid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contribuirá para acelerar o processo de </w:t>
      </w:r>
      <w:r w:rsidRP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transição energética. A nova estratégia </w:t>
      </w:r>
      <w:r w:rsid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tem por base um plano exigente, com </w:t>
      </w:r>
      <w:r w:rsidRP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objetivos ambiciosos de redução de intensidade intermédia de emissões, </w:t>
      </w:r>
      <w:r w:rsid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que contribuirão para o </w:t>
      </w:r>
      <w:r w:rsidRP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objetivo de zero emissões líquidas até 2050. </w:t>
      </w:r>
      <w:r w:rsid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Este</w:t>
      </w:r>
      <w:r w:rsidRP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plano </w:t>
      </w:r>
      <w:r w:rsid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prevê</w:t>
      </w:r>
      <w:r w:rsidRP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investimentos de 18,3 mil milhões de euros durante </w:t>
      </w:r>
      <w:r w:rsid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este período (2021-2025), </w:t>
      </w:r>
      <w:r w:rsidRP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dos quais 30%</w:t>
      </w:r>
      <w:r w:rsid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- </w:t>
      </w:r>
      <w:r w:rsidRP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ou 5,5 mil milhões de euros</w:t>
      </w:r>
      <w:r w:rsid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-, </w:t>
      </w:r>
      <w:r w:rsidRP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serão atribuídos a iniciativas com baixo teor de carbono.</w:t>
      </w:r>
    </w:p>
    <w:p w14:paraId="1E7AFD57" w14:textId="2EFFFE69" w:rsidR="0030522C" w:rsidRPr="00BD0BB2" w:rsidRDefault="0030522C" w:rsidP="00BD0BB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No compromisso</w:t>
      </w:r>
      <w:r w:rsid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de sustentabilidade</w:t>
      </w:r>
      <w:r w:rsidR="00AE27F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,</w:t>
      </w:r>
      <w:r w:rsidRP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="00AE27F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em 2017</w:t>
      </w:r>
      <w:r w:rsidRP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a Repsol </w:t>
      </w:r>
      <w:r w:rsid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tornou-se a </w:t>
      </w:r>
      <w:r w:rsidRP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primeira empresa do se</w:t>
      </w:r>
      <w:r w:rsid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t</w:t>
      </w:r>
      <w:r w:rsidRP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or a emitir obrigações verdes certificadas para reduzir a</w:t>
      </w:r>
      <w:r w:rsid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pegada de carbono, com uma emissão de obrigações a cinco anos no valor de 500 milhões de euros. Os proje</w:t>
      </w:r>
      <w:r w:rsid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t</w:t>
      </w:r>
      <w:r w:rsidRP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os de eficiência energética e </w:t>
      </w:r>
      <w:r w:rsidRP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lastRenderedPageBreak/>
        <w:t>tecnologia de baixas emissões implementados com estes fundos</w:t>
      </w:r>
      <w:r w:rsid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ajudaram a reduzir as emissões em 1,2 milhões de toneladas de </w:t>
      </w:r>
      <w:r w:rsidR="00AE27F8" w:rsidRPr="002C2A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</w:t>
      </w:r>
      <w:r w:rsidR="00AE27F8" w:rsidRPr="002C2A5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 w:rsid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em três anos.</w:t>
      </w:r>
    </w:p>
    <w:p w14:paraId="6F55B9A3" w14:textId="4BC88BFF" w:rsidR="0030522C" w:rsidRPr="00BD0BB2" w:rsidRDefault="0030522C" w:rsidP="00BD0BB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A</w:t>
      </w:r>
      <w:r w:rsid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t</w:t>
      </w:r>
      <w:r w:rsidRP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ualmente, 34,1% da participação da empresa está alinhada com os critérios ESG (</w:t>
      </w:r>
      <w:proofErr w:type="spellStart"/>
      <w:r w:rsidRP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Environmental</w:t>
      </w:r>
      <w:proofErr w:type="spellEnd"/>
      <w:r w:rsidRP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Social, </w:t>
      </w:r>
      <w:proofErr w:type="spellStart"/>
      <w:r w:rsidRP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and</w:t>
      </w:r>
      <w:proofErr w:type="spellEnd"/>
      <w:r w:rsidRP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proofErr w:type="spellStart"/>
      <w:r w:rsidRP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Governance</w:t>
      </w:r>
      <w:proofErr w:type="spellEnd"/>
      <w:r w:rsidRP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). As boas práticas da Repsol foram reconhecidas, entre outras, pela iniciativa </w:t>
      </w:r>
      <w:proofErr w:type="spellStart"/>
      <w:r w:rsidRPr="002B1F60">
        <w:rPr>
          <w:rFonts w:ascii="Arial" w:eastAsia="Times New Roman" w:hAnsi="Arial" w:cs="Arial"/>
          <w:i/>
          <w:iCs/>
          <w:color w:val="000000"/>
          <w:sz w:val="24"/>
          <w:szCs w:val="24"/>
          <w:lang w:eastAsia="zh-CN"/>
        </w:rPr>
        <w:t>Climate</w:t>
      </w:r>
      <w:proofErr w:type="spellEnd"/>
      <w:r w:rsidRPr="002B1F60">
        <w:rPr>
          <w:rFonts w:ascii="Arial" w:eastAsia="Times New Roman" w:hAnsi="Arial" w:cs="Arial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2B1F60">
        <w:rPr>
          <w:rFonts w:ascii="Arial" w:eastAsia="Times New Roman" w:hAnsi="Arial" w:cs="Arial"/>
          <w:i/>
          <w:iCs/>
          <w:color w:val="000000"/>
          <w:sz w:val="24"/>
          <w:szCs w:val="24"/>
          <w:lang w:eastAsia="zh-CN"/>
        </w:rPr>
        <w:t>Action</w:t>
      </w:r>
      <w:proofErr w:type="spellEnd"/>
      <w:r w:rsidRPr="002B1F60">
        <w:rPr>
          <w:rFonts w:ascii="Arial" w:eastAsia="Times New Roman" w:hAnsi="Arial" w:cs="Arial"/>
          <w:i/>
          <w:iCs/>
          <w:color w:val="000000"/>
          <w:sz w:val="24"/>
          <w:szCs w:val="24"/>
          <w:lang w:eastAsia="zh-CN"/>
        </w:rPr>
        <w:t xml:space="preserve"> 100</w:t>
      </w:r>
      <w:r w:rsidRPr="002B1F6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+.</w:t>
      </w:r>
      <w:r w:rsidRP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632A8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No</w:t>
      </w:r>
      <w:r w:rsidR="00AE27F8" w:rsidRPr="00632A8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seu</w:t>
      </w:r>
      <w:r w:rsidRPr="002B1F60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 </w:t>
      </w:r>
      <w:r w:rsidR="002B1F60" w:rsidRPr="002B1F60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2020 </w:t>
      </w:r>
      <w:proofErr w:type="spellStart"/>
      <w:r w:rsidR="002B1F60" w:rsidRPr="002B1F60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Progress</w:t>
      </w:r>
      <w:proofErr w:type="spellEnd"/>
      <w:r w:rsidR="002B1F60" w:rsidRPr="002B1F60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="002B1F60" w:rsidRPr="002B1F60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Report</w:t>
      </w:r>
      <w:proofErr w:type="spellEnd"/>
      <w:r w:rsidR="00AE27F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este grupo de investidores elogi</w:t>
      </w:r>
      <w:r w:rsidR="00AE27F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ou</w:t>
      </w:r>
      <w:r w:rsidRP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o diálogo contínuo com a empresa e o seu compromisso de atingir zero emissões líquidas até 2050, a </w:t>
      </w:r>
      <w:r w:rsidR="00AE27F8" w:rsidRP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adoção</w:t>
      </w:r>
      <w:r w:rsidRP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de cenários de preços alinhados com o Acordo de Paris, a incorporação das recomendações da </w:t>
      </w:r>
      <w:proofErr w:type="spellStart"/>
      <w:r w:rsidRP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Task</w:t>
      </w:r>
      <w:proofErr w:type="spellEnd"/>
      <w:r w:rsidRPr="00BD0BB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Force sobre Divulgações Financeiras Relacionadas com o Clima, e a revisão do alinhamento na luta contra as alterações climáticas das associações industriais em que a empresa participa.</w:t>
      </w:r>
    </w:p>
    <w:p w14:paraId="46BF838C" w14:textId="67AF9F0F" w:rsidR="00BD0BB2" w:rsidRDefault="00BD0BB2">
      <w:pPr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422C0C94" w14:textId="14BC1A94" w:rsidR="0030522C" w:rsidRPr="00BD0BB2" w:rsidRDefault="00BD0BB2" w:rsidP="0030522C">
      <w:pPr>
        <w:spacing w:line="276" w:lineRule="auto"/>
        <w:jc w:val="both"/>
        <w:rPr>
          <w:rFonts w:ascii="Arial" w:eastAsia="Arial" w:hAnsi="Arial" w:cs="Arial"/>
          <w:b/>
          <w:bCs/>
        </w:rPr>
      </w:pPr>
      <w:r w:rsidRPr="00BD0BB2">
        <w:rPr>
          <w:rFonts w:ascii="Arial" w:eastAsia="Arial" w:hAnsi="Arial" w:cs="Arial"/>
          <w:b/>
          <w:bCs/>
        </w:rPr>
        <w:t>Sobre</w:t>
      </w:r>
      <w:r w:rsidR="0030522C" w:rsidRPr="00BD0BB2">
        <w:rPr>
          <w:rFonts w:ascii="Arial" w:eastAsia="Arial" w:hAnsi="Arial" w:cs="Arial"/>
          <w:b/>
          <w:bCs/>
        </w:rPr>
        <w:t xml:space="preserve"> a Repsol</w:t>
      </w:r>
    </w:p>
    <w:p w14:paraId="2EEB5465" w14:textId="77777777" w:rsidR="0030522C" w:rsidRDefault="0030522C" w:rsidP="0030522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Repsol é uma empresa </w:t>
      </w:r>
      <w:proofErr w:type="spellStart"/>
      <w:r>
        <w:rPr>
          <w:rFonts w:ascii="Arial" w:eastAsia="Arial" w:hAnsi="Arial" w:cs="Arial"/>
        </w:rPr>
        <w:t>multinenergética</w:t>
      </w:r>
      <w:proofErr w:type="spellEnd"/>
      <w:r>
        <w:rPr>
          <w:rFonts w:ascii="Arial" w:eastAsia="Arial" w:hAnsi="Arial" w:cs="Arial"/>
        </w:rPr>
        <w:t xml:space="preserve"> internacional comprometida com a transição energética e o desenvolvimento de soluções eficientes e sustentáveis, capazes de satisfazer as necessidades dos seus clientes. Em 2019, estabeleceu como meta ser uma empresa com zero emissões líquidas de CO2 em 2050, sendo a primeira empresa do setor a anunciar o desígnio.</w:t>
      </w:r>
    </w:p>
    <w:p w14:paraId="15117D3D" w14:textId="77777777" w:rsidR="0030522C" w:rsidRDefault="0030522C" w:rsidP="0030522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Presente em toda a cadeia de valor energético, a Repsol emprega 24.000 pessoas, distribui os seus produtos em quase 100 países para satisfazer as necessidades energéticas dos seus 24 milhões de clientes. Com presença expressiva em Portugal desde 1990, é uma das 10 maiores empresas nacionais. A Repsol desenvolve a sua atividade nas áreas Industriais, mais concretamente na Química, onde é uma das 10 maiores exportadoras do país, nas áreas Comerciais, através das cerca de 500 Estações de Serviço, do GPL, dos Lubrificantes, Asfaltos e outros produtos especializados, Aviação e Marinha. Está ainda presente no setor das Renováveis, através do </w:t>
      </w:r>
      <w:proofErr w:type="spellStart"/>
      <w:r>
        <w:rPr>
          <w:rFonts w:ascii="Arial" w:eastAsia="Arial" w:hAnsi="Arial" w:cs="Arial"/>
        </w:rPr>
        <w:t>WindFloat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Atlantic</w:t>
      </w:r>
      <w:proofErr w:type="spellEnd"/>
      <w:r>
        <w:rPr>
          <w:rFonts w:ascii="Arial" w:eastAsia="Arial" w:hAnsi="Arial" w:cs="Arial"/>
        </w:rPr>
        <w:t xml:space="preserve"> (primeiro parque eólico flutuante da Europa Continental), e de outros projetos eólicos.</w:t>
      </w:r>
    </w:p>
    <w:p w14:paraId="5AFE38C4" w14:textId="77777777" w:rsidR="0030522C" w:rsidRDefault="0030522C" w:rsidP="0030522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Líder ibérica em Estações de Serviço, com cerca de 4.000, das quais, cerca de 500 em Portugal, distribuídas por todos os distritos do país, a companhia que foi distinguida, em 2020, por três dos principais sistemas de avaliação de marcas em Portugal – Escolha do Consumidor, 5 Estrelas e Melhor Loja de Portugal - oferece soluções para todo o tipo de necessidades de mobilidade, através do desenvolvimento dos combustíveis mais eficientes. Possui uma das maiores redes de </w:t>
      </w:r>
      <w:proofErr w:type="spellStart"/>
      <w:r>
        <w:rPr>
          <w:rFonts w:ascii="Arial" w:eastAsia="Arial" w:hAnsi="Arial" w:cs="Arial"/>
        </w:rPr>
        <w:t>AutoGás</w:t>
      </w:r>
      <w:proofErr w:type="spellEnd"/>
      <w:r>
        <w:rPr>
          <w:rFonts w:ascii="Arial" w:eastAsia="Arial" w:hAnsi="Arial" w:cs="Arial"/>
        </w:rPr>
        <w:t xml:space="preserve"> (86) e </w:t>
      </w:r>
      <w:proofErr w:type="spellStart"/>
      <w:r>
        <w:rPr>
          <w:rFonts w:ascii="Arial" w:eastAsia="Arial" w:hAnsi="Arial" w:cs="Arial"/>
        </w:rPr>
        <w:t>AdBlue</w:t>
      </w:r>
      <w:proofErr w:type="spellEnd"/>
      <w:r>
        <w:rPr>
          <w:rFonts w:ascii="Arial" w:eastAsia="Arial" w:hAnsi="Arial" w:cs="Arial"/>
        </w:rPr>
        <w:t xml:space="preserve"> (68), em bomba, a granel, sendo que, atualmente, detém e gere, autonomamente, três postos de carregamento para veículos elétricos, e quatro em parceria, estando previsto um forte crescimento nesta área de negócio em Portugal ao longo dos próximos meses. Na Península Ibérica, neste tipo de solução, é líder com mais de 1.200 e conta com os dois primeiros pontos de carregamento ultrarrápido em funcionamento na Península Ibérica, instalados durante 2019.</w:t>
      </w:r>
    </w:p>
    <w:p w14:paraId="555F4021" w14:textId="2DA8B272" w:rsidR="00A119D1" w:rsidRDefault="00A119D1"/>
    <w:sectPr w:rsidR="00A119D1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B731F" w14:textId="77777777" w:rsidR="00F54789" w:rsidRDefault="00F54789">
      <w:pPr>
        <w:spacing w:after="0" w:line="240" w:lineRule="auto"/>
      </w:pPr>
      <w:r>
        <w:separator/>
      </w:r>
    </w:p>
  </w:endnote>
  <w:endnote w:type="continuationSeparator" w:id="0">
    <w:p w14:paraId="7AFDCDFB" w14:textId="77777777" w:rsidR="00F54789" w:rsidRDefault="00F54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392F" w14:textId="23B5FB63" w:rsidR="007855C9" w:rsidRDefault="002F6543"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E27F8">
      <w:rPr>
        <w:noProof/>
        <w:color w:val="000000"/>
      </w:rPr>
      <w:t>1</w:t>
    </w:r>
    <w:r>
      <w:rPr>
        <w:color w:val="000000"/>
      </w:rPr>
      <w:fldChar w:fldCharType="end"/>
    </w:r>
  </w:p>
  <w:p w14:paraId="5D0E23A7" w14:textId="0FB99008" w:rsidR="007855C9" w:rsidRDefault="007855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5CB67" w14:textId="77777777" w:rsidR="00F54789" w:rsidRDefault="00F54789">
      <w:pPr>
        <w:spacing w:after="0" w:line="240" w:lineRule="auto"/>
      </w:pPr>
      <w:r>
        <w:separator/>
      </w:r>
    </w:p>
  </w:footnote>
  <w:footnote w:type="continuationSeparator" w:id="0">
    <w:p w14:paraId="425EF06B" w14:textId="77777777" w:rsidR="00F54789" w:rsidRDefault="00F54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BBE0" w14:textId="77777777" w:rsidR="00A119D1" w:rsidRDefault="00A119D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10353" w:type="dxa"/>
      <w:tblInd w:w="-14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776"/>
      <w:gridCol w:w="4497"/>
      <w:gridCol w:w="3080"/>
    </w:tblGrid>
    <w:tr w:rsidR="00A119D1" w14:paraId="2A48B122" w14:textId="77777777">
      <w:trPr>
        <w:trHeight w:val="1374"/>
      </w:trPr>
      <w:tc>
        <w:tcPr>
          <w:tcW w:w="2776" w:type="dxa"/>
        </w:tcPr>
        <w:p w14:paraId="7EAD6D9E" w14:textId="77777777" w:rsidR="00A119D1" w:rsidRDefault="002F654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firstLine="114"/>
            <w:rPr>
              <w:rFonts w:ascii="Arial" w:eastAsia="Arial" w:hAnsi="Arial" w:cs="Arial"/>
              <w:color w:val="000000"/>
              <w:sz w:val="14"/>
              <w:szCs w:val="14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14"/>
              <w:szCs w:val="14"/>
            </w:rPr>
            <w:t>Press</w:t>
          </w:r>
          <w:proofErr w:type="spellEnd"/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14"/>
              <w:szCs w:val="14"/>
            </w:rPr>
            <w:t>release</w:t>
          </w:r>
          <w:proofErr w:type="spellEnd"/>
        </w:p>
        <w:p w14:paraId="5E534028" w14:textId="6C05C8B5" w:rsidR="00A119D1" w:rsidRDefault="002F65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ind w:firstLine="114"/>
            <w:rPr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Lisboa, </w:t>
          </w:r>
          <w:r w:rsidR="0030522C">
            <w:rPr>
              <w:rFonts w:ascii="Arial" w:eastAsia="Arial" w:hAnsi="Arial" w:cs="Arial"/>
              <w:color w:val="000000"/>
              <w:sz w:val="14"/>
              <w:szCs w:val="14"/>
            </w:rPr>
            <w:t>junho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, </w:t>
          </w:r>
          <w:r w:rsidR="0030522C">
            <w:rPr>
              <w:rFonts w:ascii="Arial" w:eastAsia="Arial" w:hAnsi="Arial" w:cs="Arial"/>
              <w:color w:val="000000"/>
              <w:sz w:val="14"/>
              <w:szCs w:val="14"/>
            </w:rPr>
            <w:t xml:space="preserve">14, 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>021</w:t>
          </w:r>
        </w:p>
      </w:tc>
      <w:tc>
        <w:tcPr>
          <w:tcW w:w="4497" w:type="dxa"/>
        </w:tcPr>
        <w:p w14:paraId="3AD11ED1" w14:textId="77777777" w:rsidR="00A119D1" w:rsidRDefault="002F654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94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REPSOL | 21 311 9000</w:t>
          </w:r>
        </w:p>
        <w:p w14:paraId="0397FB11" w14:textId="77777777" w:rsidR="00A119D1" w:rsidRDefault="002F65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ind w:left="94"/>
            <w:rPr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António Martins Victor | amvictor@repsol.com</w:t>
          </w:r>
        </w:p>
      </w:tc>
      <w:tc>
        <w:tcPr>
          <w:tcW w:w="3080" w:type="dxa"/>
        </w:tcPr>
        <w:p w14:paraId="7887650F" w14:textId="77777777" w:rsidR="00A119D1" w:rsidRDefault="00F547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rPr>
              <w:rFonts w:ascii="Arial" w:eastAsia="Arial" w:hAnsi="Arial" w:cs="Arial"/>
              <w:color w:val="000000"/>
              <w:sz w:val="14"/>
              <w:szCs w:val="14"/>
            </w:rPr>
          </w:pPr>
          <w:hyperlink r:id="rId1">
            <w:r w:rsidR="002F6543">
              <w:rPr>
                <w:rFonts w:ascii="Arial" w:eastAsia="Arial" w:hAnsi="Arial" w:cs="Arial"/>
                <w:color w:val="0563C1"/>
                <w:sz w:val="14"/>
                <w:szCs w:val="14"/>
                <w:u w:val="single"/>
              </w:rPr>
              <w:t>www.repsol.pt</w:t>
            </w:r>
          </w:hyperlink>
          <w:r w:rsidR="002F6543"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5B2E129" wp14:editId="7A74CE03">
                <wp:simplePos x="0" y="0"/>
                <wp:positionH relativeFrom="column">
                  <wp:posOffset>883285</wp:posOffset>
                </wp:positionH>
                <wp:positionV relativeFrom="paragraph">
                  <wp:posOffset>55245</wp:posOffset>
                </wp:positionV>
                <wp:extent cx="853440" cy="704850"/>
                <wp:effectExtent l="0" t="0" r="0" b="0"/>
                <wp:wrapNone/>
                <wp:docPr id="2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7D3CDEE4" w14:textId="77777777" w:rsidR="00A119D1" w:rsidRDefault="00A119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rPr>
              <w:rFonts w:ascii="Arial" w:eastAsia="Arial" w:hAnsi="Arial" w:cs="Arial"/>
              <w:color w:val="000000"/>
              <w:sz w:val="14"/>
              <w:szCs w:val="14"/>
            </w:rPr>
          </w:pPr>
        </w:p>
        <w:p w14:paraId="233FC724" w14:textId="77777777" w:rsidR="00A119D1" w:rsidRDefault="00A119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rPr>
              <w:rFonts w:ascii="Arial" w:eastAsia="Arial" w:hAnsi="Arial" w:cs="Arial"/>
              <w:color w:val="000000"/>
              <w:sz w:val="14"/>
              <w:szCs w:val="14"/>
            </w:rPr>
          </w:pPr>
        </w:p>
        <w:p w14:paraId="60C782B9" w14:textId="77777777" w:rsidR="00A119D1" w:rsidRDefault="00A119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rPr>
              <w:rFonts w:ascii="Arial" w:eastAsia="Arial" w:hAnsi="Arial" w:cs="Arial"/>
              <w:color w:val="000000"/>
              <w:sz w:val="14"/>
              <w:szCs w:val="14"/>
            </w:rPr>
          </w:pPr>
        </w:p>
        <w:p w14:paraId="60EEDA75" w14:textId="77777777" w:rsidR="00A119D1" w:rsidRDefault="00A119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rPr>
              <w:rFonts w:ascii="Arial" w:eastAsia="Arial" w:hAnsi="Arial" w:cs="Arial"/>
              <w:color w:val="000000"/>
              <w:sz w:val="14"/>
              <w:szCs w:val="14"/>
            </w:rPr>
          </w:pPr>
        </w:p>
        <w:p w14:paraId="463F9FE2" w14:textId="77777777" w:rsidR="00A119D1" w:rsidRDefault="00A119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rPr>
              <w:rFonts w:ascii="Arial" w:eastAsia="Arial" w:hAnsi="Arial" w:cs="Arial"/>
              <w:color w:val="000000"/>
              <w:sz w:val="14"/>
              <w:szCs w:val="14"/>
            </w:rPr>
          </w:pPr>
        </w:p>
        <w:p w14:paraId="11E571BA" w14:textId="77777777" w:rsidR="00A119D1" w:rsidRDefault="00A119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rPr>
              <w:color w:val="000000"/>
              <w:sz w:val="22"/>
              <w:szCs w:val="22"/>
            </w:rPr>
          </w:pPr>
        </w:p>
      </w:tc>
    </w:tr>
  </w:tbl>
  <w:p w14:paraId="41C0208C" w14:textId="77777777" w:rsidR="00A119D1" w:rsidRDefault="00A119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5471F0C" w14:textId="77777777" w:rsidR="007855C9" w:rsidRDefault="007855C9"/>
  <w:p w14:paraId="47B2F157" w14:textId="77777777" w:rsidR="007855C9" w:rsidRDefault="007855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2845"/>
    <w:multiLevelType w:val="hybridMultilevel"/>
    <w:tmpl w:val="9E4AFEE0"/>
    <w:lvl w:ilvl="0" w:tplc="E550F4FC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color w:val="FF82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D34B4"/>
    <w:multiLevelType w:val="multilevel"/>
    <w:tmpl w:val="4100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E623B"/>
    <w:multiLevelType w:val="multilevel"/>
    <w:tmpl w:val="5BAC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D0A0B"/>
    <w:multiLevelType w:val="multilevel"/>
    <w:tmpl w:val="E8DC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7814DB"/>
    <w:multiLevelType w:val="multilevel"/>
    <w:tmpl w:val="9676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A16332"/>
    <w:multiLevelType w:val="multilevel"/>
    <w:tmpl w:val="9818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3C4D32"/>
    <w:multiLevelType w:val="multilevel"/>
    <w:tmpl w:val="9F1EC90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color w:val="FF82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D422AA9"/>
    <w:multiLevelType w:val="multilevel"/>
    <w:tmpl w:val="A7D2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9D1"/>
    <w:rsid w:val="0001777B"/>
    <w:rsid w:val="00034922"/>
    <w:rsid w:val="000D0BC9"/>
    <w:rsid w:val="00116406"/>
    <w:rsid w:val="00161447"/>
    <w:rsid w:val="002B1F60"/>
    <w:rsid w:val="002C2A5A"/>
    <w:rsid w:val="002E002C"/>
    <w:rsid w:val="002F3501"/>
    <w:rsid w:val="002F6543"/>
    <w:rsid w:val="0030522C"/>
    <w:rsid w:val="0032448F"/>
    <w:rsid w:val="00380DEF"/>
    <w:rsid w:val="00390FD2"/>
    <w:rsid w:val="004020EE"/>
    <w:rsid w:val="00405486"/>
    <w:rsid w:val="0041022D"/>
    <w:rsid w:val="0043073D"/>
    <w:rsid w:val="004473A6"/>
    <w:rsid w:val="00454898"/>
    <w:rsid w:val="00460B8A"/>
    <w:rsid w:val="00492E35"/>
    <w:rsid w:val="00530E35"/>
    <w:rsid w:val="00534227"/>
    <w:rsid w:val="00536100"/>
    <w:rsid w:val="005809F1"/>
    <w:rsid w:val="00586BE8"/>
    <w:rsid w:val="00587405"/>
    <w:rsid w:val="005D1CB1"/>
    <w:rsid w:val="00610CDA"/>
    <w:rsid w:val="00632A8B"/>
    <w:rsid w:val="00642B9E"/>
    <w:rsid w:val="00660DAA"/>
    <w:rsid w:val="006671E2"/>
    <w:rsid w:val="00667B00"/>
    <w:rsid w:val="00681989"/>
    <w:rsid w:val="006840BF"/>
    <w:rsid w:val="006D6065"/>
    <w:rsid w:val="00700340"/>
    <w:rsid w:val="00713459"/>
    <w:rsid w:val="007439EC"/>
    <w:rsid w:val="00753935"/>
    <w:rsid w:val="00766406"/>
    <w:rsid w:val="007855C9"/>
    <w:rsid w:val="007A1064"/>
    <w:rsid w:val="007A34F1"/>
    <w:rsid w:val="007B1533"/>
    <w:rsid w:val="007B4EFE"/>
    <w:rsid w:val="007D1EC1"/>
    <w:rsid w:val="007E5B69"/>
    <w:rsid w:val="00820F76"/>
    <w:rsid w:val="00840C4E"/>
    <w:rsid w:val="008732F9"/>
    <w:rsid w:val="00882E56"/>
    <w:rsid w:val="008A0B79"/>
    <w:rsid w:val="008A61B5"/>
    <w:rsid w:val="008B0C00"/>
    <w:rsid w:val="008B3EE8"/>
    <w:rsid w:val="008B577E"/>
    <w:rsid w:val="008C3116"/>
    <w:rsid w:val="008E4E56"/>
    <w:rsid w:val="008F211C"/>
    <w:rsid w:val="008F4216"/>
    <w:rsid w:val="008F7E44"/>
    <w:rsid w:val="00900BB4"/>
    <w:rsid w:val="00907123"/>
    <w:rsid w:val="009232D1"/>
    <w:rsid w:val="0096552C"/>
    <w:rsid w:val="009849D0"/>
    <w:rsid w:val="009C7512"/>
    <w:rsid w:val="00A119D1"/>
    <w:rsid w:val="00A30D34"/>
    <w:rsid w:val="00A576CE"/>
    <w:rsid w:val="00A93616"/>
    <w:rsid w:val="00AD0AAF"/>
    <w:rsid w:val="00AD6453"/>
    <w:rsid w:val="00AE27F8"/>
    <w:rsid w:val="00B1660A"/>
    <w:rsid w:val="00B17B44"/>
    <w:rsid w:val="00B222B9"/>
    <w:rsid w:val="00B54C2D"/>
    <w:rsid w:val="00B55952"/>
    <w:rsid w:val="00BA200F"/>
    <w:rsid w:val="00BC5D95"/>
    <w:rsid w:val="00BD0BB2"/>
    <w:rsid w:val="00BD38AB"/>
    <w:rsid w:val="00BE05A4"/>
    <w:rsid w:val="00BF4AA1"/>
    <w:rsid w:val="00C23634"/>
    <w:rsid w:val="00C46F98"/>
    <w:rsid w:val="00C622CA"/>
    <w:rsid w:val="00CD4AA5"/>
    <w:rsid w:val="00D159FE"/>
    <w:rsid w:val="00D47B3D"/>
    <w:rsid w:val="00D650CA"/>
    <w:rsid w:val="00DD2659"/>
    <w:rsid w:val="00DD6516"/>
    <w:rsid w:val="00DE09AE"/>
    <w:rsid w:val="00DE1FCB"/>
    <w:rsid w:val="00DE5F07"/>
    <w:rsid w:val="00E0041B"/>
    <w:rsid w:val="00E04723"/>
    <w:rsid w:val="00E04EF6"/>
    <w:rsid w:val="00E06C39"/>
    <w:rsid w:val="00E27DAE"/>
    <w:rsid w:val="00E30182"/>
    <w:rsid w:val="00E52E27"/>
    <w:rsid w:val="00E54930"/>
    <w:rsid w:val="00E54ACC"/>
    <w:rsid w:val="00E555C6"/>
    <w:rsid w:val="00E62663"/>
    <w:rsid w:val="00F16A37"/>
    <w:rsid w:val="00F20DF0"/>
    <w:rsid w:val="00F54789"/>
    <w:rsid w:val="00FB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6ACF5"/>
  <w15:docId w15:val="{1C4DE0BA-C20A-4362-BB3F-0AED6AC3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ter"/>
    <w:uiPriority w:val="10"/>
    <w:qFormat/>
    <w:rsid w:val="003A0B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A0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3A0B3F"/>
    <w:pPr>
      <w:ind w:left="720"/>
      <w:contextualSpacing/>
    </w:pPr>
  </w:style>
  <w:style w:type="paragraph" w:styleId="Subttulo">
    <w:name w:val="Subtitle"/>
    <w:basedOn w:val="Normal"/>
    <w:next w:val="Normal"/>
    <w:link w:val="SubttuloCarter"/>
    <w:uiPriority w:val="11"/>
    <w:qFormat/>
    <w:rPr>
      <w:color w:val="5A5A5A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AD6B0C"/>
    <w:rPr>
      <w:rFonts w:eastAsiaTheme="minorEastAsia"/>
      <w:color w:val="5A5A5A" w:themeColor="text1" w:themeTint="A5"/>
      <w:spacing w:val="15"/>
    </w:rPr>
  </w:style>
  <w:style w:type="paragraph" w:styleId="Cabealho">
    <w:name w:val="header"/>
    <w:basedOn w:val="Normal"/>
    <w:link w:val="CabealhoCarter"/>
    <w:uiPriority w:val="99"/>
    <w:unhideWhenUsed/>
    <w:rsid w:val="00AE7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E72D9"/>
  </w:style>
  <w:style w:type="paragraph" w:styleId="Rodap">
    <w:name w:val="footer"/>
    <w:basedOn w:val="Normal"/>
    <w:link w:val="RodapCarter"/>
    <w:uiPriority w:val="99"/>
    <w:unhideWhenUsed/>
    <w:rsid w:val="00AE7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E72D9"/>
  </w:style>
  <w:style w:type="table" w:styleId="TabelacomGrelha">
    <w:name w:val="Table Grid"/>
    <w:basedOn w:val="Tabelanormal"/>
    <w:uiPriority w:val="39"/>
    <w:rsid w:val="00AE72D9"/>
    <w:pPr>
      <w:spacing w:after="0" w:line="240" w:lineRule="auto"/>
    </w:pPr>
    <w:rPr>
      <w:sz w:val="24"/>
      <w:szCs w:val="24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AE72D9"/>
    <w:rPr>
      <w:color w:val="0563C1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6154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6154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6154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6154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61546"/>
    <w:rPr>
      <w:b/>
      <w:bCs/>
      <w:sz w:val="20"/>
      <w:szCs w:val="20"/>
    </w:rPr>
  </w:style>
  <w:style w:type="character" w:customStyle="1" w:styleId="normaltextrun">
    <w:name w:val="normaltextrun"/>
    <w:basedOn w:val="Tipodeletrapredefinidodopargrafo"/>
    <w:rsid w:val="00A44478"/>
  </w:style>
  <w:style w:type="paragraph" w:styleId="Textodebalo">
    <w:name w:val="Balloon Text"/>
    <w:basedOn w:val="Normal"/>
    <w:link w:val="TextodebaloCarter"/>
    <w:uiPriority w:val="99"/>
    <w:semiHidden/>
    <w:unhideWhenUsed/>
    <w:rsid w:val="00AA6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A63C1"/>
    <w:rPr>
      <w:rFonts w:ascii="Segoe UI" w:hAnsi="Segoe UI" w:cs="Segoe UI"/>
      <w:sz w:val="18"/>
      <w:szCs w:val="18"/>
    </w:rPr>
  </w:style>
  <w:style w:type="table" w:customStyle="1" w:styleId="a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detexto">
    <w:name w:val="Body Text"/>
    <w:basedOn w:val="Normal"/>
    <w:link w:val="CorpodetextoCarter"/>
    <w:uiPriority w:val="1"/>
    <w:qFormat/>
    <w:rsid w:val="006D60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6D6065"/>
    <w:rPr>
      <w:rFonts w:ascii="Arial" w:eastAsia="Arial" w:hAnsi="Arial" w:cs="Arial"/>
      <w:lang w:val="es-ES" w:eastAsia="en-US"/>
    </w:rPr>
  </w:style>
  <w:style w:type="paragraph" w:customStyle="1" w:styleId="Default">
    <w:name w:val="Default"/>
    <w:rsid w:val="007134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90712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1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390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56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5814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8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1901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repsol.com/imagenes/global/en/carbon_intensity_indicator_tcm14-198668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repsol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wBpw4SSkOnKgb9fU5DPt1GZBvw==">AMUW2mXhYmuO8H4SrvkmeTl4J3BzMgWy8aBY5YZQ7pk+0Kn36MK8Pasn1cWTBewi9s+GAF4F6MLuvvehOTNu2xJSHt2m4dlj44aUQIqRPCtARYy33LWTtMM=</go:docsCustomData>
</go:gDocsCustomXmlDataStorage>
</file>

<file path=customXml/itemProps1.xml><?xml version="1.0" encoding="utf-8"?>
<ds:datastoreItem xmlns:ds="http://schemas.openxmlformats.org/officeDocument/2006/customXml" ds:itemID="{B252E8EC-9EAD-4135-8035-5DC6C833CB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1201</Words>
  <Characters>6486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VASCONCELOS, DIOGO</dc:creator>
  <cp:lastModifiedBy>Sara Calado</cp:lastModifiedBy>
  <cp:revision>4</cp:revision>
  <cp:lastPrinted>2021-05-13T12:30:00Z</cp:lastPrinted>
  <dcterms:created xsi:type="dcterms:W3CDTF">2021-06-14T14:07:00Z</dcterms:created>
  <dcterms:modified xsi:type="dcterms:W3CDTF">2021-06-14T15:42:00Z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0x01010004587CED3548284EB56C5C27E632860D</vt:lpwstr>
  </property>
</Properties>
</file>